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4"/>
        <w:pBdr/>
        <w:spacing/>
        <w:ind/>
        <w:jc w:val="center"/>
        <w:rPr>
          <w:sz w:val="144"/>
          <w:szCs w:val="144"/>
          <w:u w:val="single"/>
          <w:lang w:eastAsia="en-GB"/>
        </w:rPr>
      </w:pPr>
      <w:r>
        <w:rPr>
          <w:sz w:val="144"/>
          <w:szCs w:val="144"/>
          <w:u w:val="single"/>
          <w:lang w:eastAsia="en-GB"/>
        </w:rPr>
        <w:t xml:space="preserve">Reformation</w:t>
      </w:r>
      <w:r>
        <w:rPr>
          <w:sz w:val="144"/>
          <w:szCs w:val="144"/>
          <w:u w:val="single"/>
          <w:lang w:eastAsia="en-GB"/>
        </w:rPr>
        <w:t xml:space="preserve"> Day.</w:t>
      </w:r>
      <w:r>
        <w:rPr>
          <w:sz w:val="144"/>
          <w:szCs w:val="144"/>
          <w:u w:val="single"/>
          <w:lang w:eastAsia="en-GB"/>
        </w:rPr>
      </w:r>
    </w:p>
    <w:p>
      <w:pPr>
        <w:pStyle w:val="674"/>
        <w:pBdr/>
        <w:spacing/>
        <w:ind/>
        <w:jc w:val="center"/>
        <w:rPr>
          <w:sz w:val="72"/>
          <w:szCs w:val="72"/>
          <w:u w:val="single"/>
          <w:lang w:eastAsia="en-GB"/>
        </w:rPr>
      </w:pPr>
      <w:r>
        <w:rPr>
          <w:sz w:val="72"/>
          <w:szCs w:val="72"/>
          <w:u w:val="single"/>
          <w:lang w:eastAsia="en-GB"/>
        </w:rPr>
      </w:r>
      <w:r>
        <w:rPr>
          <w:sz w:val="72"/>
          <w:szCs w:val="72"/>
          <w:u w:val="single"/>
          <w:lang w:eastAsia="en-GB"/>
        </w:rPr>
      </w:r>
    </w:p>
    <w:p>
      <w:pPr>
        <w:pStyle w:val="674"/>
        <w:pBdr/>
        <w:spacing/>
        <w:ind/>
        <w:jc w:val="center"/>
        <w:rPr>
          <w:sz w:val="160"/>
          <w:szCs w:val="160"/>
          <w:lang w:eastAsia="en-GB"/>
        </w:rPr>
      </w:pPr>
      <w:r>
        <w:rPr>
          <w:sz w:val="160"/>
          <w:szCs w:val="160"/>
          <w:lang w:eastAsia="en-GB"/>
        </w:rPr>
        <w:t xml:space="preserve">October 31</w:t>
      </w:r>
      <w:r>
        <w:rPr>
          <w:sz w:val="160"/>
          <w:szCs w:val="160"/>
          <w:vertAlign w:val="superscript"/>
          <w:lang w:eastAsia="en-GB"/>
        </w:rPr>
        <w:t xml:space="preserve">st</w:t>
      </w:r>
      <w:r>
        <w:rPr>
          <w:sz w:val="160"/>
          <w:szCs w:val="160"/>
          <w:lang w:eastAsia="en-GB"/>
        </w:rPr>
        <w:t xml:space="preserve"> 1517</w:t>
      </w:r>
      <w:r>
        <w:rPr>
          <w:sz w:val="160"/>
          <w:szCs w:val="160"/>
          <w:lang w:eastAsia="en-GB"/>
        </w:rPr>
        <w:t xml:space="preserve">.</w:t>
      </w:r>
      <w:r>
        <w:rPr>
          <w:sz w:val="160"/>
          <w:szCs w:val="160"/>
          <w:lang w:eastAsia="en-GB"/>
        </w:rPr>
      </w:r>
    </w:p>
    <w:p>
      <w:pPr>
        <w:pStyle w:val="674"/>
        <w:pBdr/>
        <w:spacing/>
        <w:ind/>
        <w:jc w:val="center"/>
        <w:rPr>
          <w:sz w:val="160"/>
          <w:szCs w:val="160"/>
          <w:lang w:eastAsia="en-GB"/>
        </w:rPr>
      </w:pPr>
      <w:r>
        <w:rPr>
          <w:sz w:val="160"/>
          <w:szCs w:val="160"/>
          <w:lang w:eastAsia="en-GB"/>
        </w:rPr>
        <w:t xml:space="preserve">509 Years Ago</w:t>
      </w:r>
      <w:r>
        <w:rPr>
          <w:sz w:val="160"/>
          <w:szCs w:val="160"/>
          <w:lang w:eastAsia="en-GB"/>
        </w:rPr>
        <w:t xml:space="preserve">.</w:t>
      </w:r>
      <w:r>
        <w:rPr>
          <w:sz w:val="160"/>
          <w:szCs w:val="160"/>
          <w:lang w:eastAsia="en-GB"/>
        </w:rPr>
      </w:r>
    </w:p>
    <w:p>
      <w:pPr>
        <w:pStyle w:val="674"/>
        <w:pBdr/>
        <w:spacing/>
        <w:ind/>
        <w:jc w:val="center"/>
        <w:rPr>
          <w:sz w:val="160"/>
          <w:szCs w:val="160"/>
          <w:lang w:eastAsia="en-GB"/>
        </w:rPr>
      </w:pPr>
      <w:r>
        <w:rPr>
          <w:sz w:val="160"/>
          <w:szCs w:val="160"/>
          <w:lang w:eastAsia="en-GB"/>
        </w:rPr>
      </w:r>
      <w:r>
        <w:rPr>
          <w:sz w:val="160"/>
          <w:szCs w:val="160"/>
          <w:lang w:eastAsia="en-GB"/>
        </w:rPr>
      </w:r>
    </w:p>
    <w:p>
      <w:pPr>
        <w:pStyle w:val="674"/>
        <w:pBdr/>
        <w:spacing/>
        <w:ind/>
        <w:jc w:val="center"/>
        <w:rPr>
          <w:sz w:val="160"/>
          <w:szCs w:val="160"/>
          <w:lang w:eastAsia="en-GB"/>
        </w:rPr>
      </w:pPr>
      <w:r>
        <w:rPr>
          <w:sz w:val="160"/>
          <w:szCs w:val="160"/>
          <w:lang w:eastAsia="en-GB"/>
        </w:rPr>
        <w:t xml:space="preserve">Martin Luther</w:t>
      </w:r>
      <w:r>
        <w:rPr>
          <w:sz w:val="160"/>
          <w:szCs w:val="160"/>
          <w:lang w:eastAsia="en-GB"/>
        </w:rPr>
      </w:r>
    </w:p>
    <w:p>
      <w:pPr>
        <w:pStyle w:val="674"/>
        <w:pBdr/>
        <w:spacing/>
        <w:ind/>
        <w:jc w:val="center"/>
        <w:rPr>
          <w:sz w:val="160"/>
          <w:szCs w:val="160"/>
          <w:lang w:eastAsia="en-GB"/>
        </w:rPr>
      </w:pPr>
      <w:r>
        <w:rPr>
          <w:sz w:val="160"/>
          <w:szCs w:val="160"/>
          <w:lang w:eastAsia="en-GB"/>
        </w:rPr>
        <w:t xml:space="preserve">1483 – 1546</w:t>
      </w:r>
      <w:r>
        <w:rPr>
          <w:sz w:val="160"/>
          <w:szCs w:val="160"/>
          <w:lang w:eastAsia="en-GB"/>
        </w:rPr>
      </w:r>
    </w:p>
    <w:p>
      <w:pPr>
        <w:pStyle w:val="674"/>
        <w:pBdr/>
        <w:spacing/>
        <w:ind/>
        <w:jc w:val="center"/>
        <w:rPr>
          <w:sz w:val="104"/>
          <w:szCs w:val="104"/>
          <w:lang w:eastAsia="en-GB"/>
        </w:rPr>
      </w:pPr>
      <w:r>
        <w:rPr>
          <w:sz w:val="104"/>
          <w:szCs w:val="104"/>
          <w:lang w:eastAsia="en-GB"/>
        </w:rPr>
        <w:t xml:space="preserve">Roman Catholic Monk </w:t>
      </w:r>
      <w:r>
        <w:rPr>
          <w:sz w:val="104"/>
          <w:szCs w:val="104"/>
          <w:lang w:eastAsia="en-GB"/>
        </w:rPr>
      </w:r>
    </w:p>
    <w:p>
      <w:pPr>
        <w:pStyle w:val="674"/>
        <w:pBdr/>
        <w:spacing/>
        <w:ind/>
        <w:jc w:val="center"/>
        <w:rPr>
          <w:sz w:val="104"/>
          <w:szCs w:val="104"/>
          <w:lang w:eastAsia="en-GB"/>
        </w:rPr>
      </w:pPr>
      <w:r>
        <w:rPr>
          <w:sz w:val="104"/>
          <w:szCs w:val="104"/>
          <w:lang w:eastAsia="en-GB"/>
        </w:rPr>
        <w:t xml:space="preserve">Translated the Bible                       into German.</w:t>
      </w:r>
      <w:r>
        <w:rPr>
          <w:sz w:val="104"/>
          <w:szCs w:val="104"/>
          <w:lang w:eastAsia="en-GB"/>
        </w:rPr>
      </w:r>
    </w:p>
    <w:p>
      <w:pPr>
        <w:pStyle w:val="674"/>
        <w:pBdr/>
        <w:spacing/>
        <w:ind/>
        <w:jc w:val="center"/>
        <w:rPr>
          <w:sz w:val="104"/>
          <w:szCs w:val="104"/>
          <w:lang w:eastAsia="en-GB"/>
        </w:rPr>
      </w:pPr>
      <w:r>
        <w:rPr>
          <w:sz w:val="104"/>
          <w:szCs w:val="104"/>
          <w:lang w:eastAsia="en-GB"/>
        </w:rPr>
        <w:t xml:space="preserve">Discovered Error of Rome.</w:t>
      </w:r>
      <w:r>
        <w:rPr>
          <w:sz w:val="104"/>
          <w:szCs w:val="104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lang w:eastAsia="en-GB"/>
        </w:rPr>
      </w:pPr>
      <w:r>
        <w:rPr>
          <w:sz w:val="104"/>
          <w:szCs w:val="104"/>
          <w:lang w:eastAsia="en-GB"/>
        </w:rPr>
        <w:t xml:space="preserve">Wrote </w:t>
      </w:r>
      <w:r>
        <w:rPr>
          <w:sz w:val="104"/>
          <w:szCs w:val="104"/>
          <w:lang w:eastAsia="en-GB"/>
        </w:rPr>
        <w:t xml:space="preserve">95 Thesis</w:t>
      </w:r>
      <w:r>
        <w:rPr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sz w:val="56"/>
          <w:szCs w:val="56"/>
          <w:lang w:eastAsia="en-GB"/>
        </w:rPr>
      </w:pPr>
      <w:r>
        <w:rPr>
          <w:sz w:val="56"/>
          <w:szCs w:val="56"/>
          <w:lang w:eastAsia="en-GB"/>
        </w:rPr>
      </w:r>
      <w:r>
        <w:rPr>
          <w:sz w:val="56"/>
          <w:szCs w:val="56"/>
          <w:lang w:eastAsia="en-GB"/>
        </w:rPr>
      </w:r>
    </w:p>
    <w:p>
      <w:pPr>
        <w:pStyle w:val="674"/>
        <w:pBdr/>
        <w:spacing/>
        <w:ind/>
        <w:jc w:val="center"/>
        <w:rPr>
          <w:sz w:val="14"/>
          <w:szCs w:val="14"/>
          <w:lang w:eastAsia="en-GB"/>
        </w:rPr>
      </w:pPr>
      <w:r>
        <w:rPr>
          <w:sz w:val="14"/>
          <w:szCs w:val="14"/>
          <w:lang w:eastAsia="en-GB"/>
        </w:rPr>
      </w:r>
      <w:r>
        <w:rPr>
          <w:sz w:val="14"/>
          <w:szCs w:val="14"/>
          <w:lang w:eastAsia="en-GB"/>
        </w:rPr>
      </w:r>
    </w:p>
    <w:p>
      <w:pPr>
        <w:pStyle w:val="674"/>
        <w:pBdr/>
        <w:spacing/>
        <w:ind/>
        <w:jc w:val="center"/>
        <w:rPr>
          <w:sz w:val="160"/>
          <w:szCs w:val="160"/>
          <w:lang w:eastAsia="en-GB"/>
        </w:rPr>
      </w:pPr>
      <w:r>
        <w:rPr>
          <w:sz w:val="160"/>
          <w:szCs w:val="160"/>
          <w:lang w:eastAsia="en-GB"/>
        </w:rPr>
      </w:r>
      <w:r>
        <w:rPr>
          <w:sz w:val="160"/>
          <w:szCs w:val="160"/>
          <w:lang w:eastAsia="en-GB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33686" cy="5643704"/>
                <wp:effectExtent l="0" t="0" r="5715" b="0"/>
                <wp:docPr id="1" name="Picture 1" descr="A black metal door with a gat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415781" name="Picture 1" descr="A black metal door with a gate&#10;&#10;AI-generated content may be incorrect.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</pic:blipFill>
                      <pic:spPr bwMode="auto">
                        <a:xfrm>
                          <a:off x="0" y="0"/>
                          <a:ext cx="10038327" cy="5646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90.05pt;height:444.39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z w:val="160"/>
          <w:szCs w:val="160"/>
          <w:lang w:eastAsia="en-GB"/>
        </w:rPr>
      </w:r>
      <w:r>
        <w:rPr>
          <w:sz w:val="160"/>
          <w:szCs w:val="160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lang w:eastAsia="en-GB"/>
        </w:rPr>
      </w:pPr>
      <w:r>
        <w:rPr>
          <w:sz w:val="96"/>
          <w:szCs w:val="96"/>
          <w:lang w:eastAsia="en-GB"/>
        </w:rPr>
        <w:t xml:space="preserve">Roman Catholic Errors.</w:t>
      </w:r>
      <w:r>
        <w:rPr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lang w:eastAsia="en-GB"/>
        </w:rPr>
      </w:pPr>
      <w:r>
        <w:rPr>
          <w:sz w:val="96"/>
          <w:szCs w:val="96"/>
          <w:lang w:eastAsia="en-GB"/>
        </w:rPr>
        <w:t xml:space="preserve">The Pope, Priests, Mary, Confessions, Purgatory, Penance, Idols.</w:t>
      </w:r>
      <w:r>
        <w:rPr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lang w:eastAsia="en-GB"/>
        </w:rPr>
      </w:pPr>
      <w:r>
        <w:rPr>
          <w:sz w:val="96"/>
          <w:szCs w:val="96"/>
          <w:lang w:eastAsia="en-GB"/>
        </w:rPr>
        <w:t xml:space="preserve">All man-made ideas.</w:t>
      </w:r>
      <w:r>
        <w:rPr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lang w:eastAsia="en-GB"/>
        </w:rPr>
      </w:pPr>
      <w:r>
        <w:rPr>
          <w:sz w:val="96"/>
          <w:szCs w:val="96"/>
          <w:lang w:eastAsia="en-GB"/>
        </w:rPr>
        <w:t xml:space="preserve">Not in the Bible.</w:t>
      </w:r>
      <w:r>
        <w:rPr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u w:val="single"/>
          <w:lang w:eastAsia="en-GB"/>
        </w:rPr>
      </w:pPr>
      <w:r>
        <w:rPr>
          <w:sz w:val="96"/>
          <w:szCs w:val="96"/>
          <w:u w:val="single"/>
          <w:lang w:eastAsia="en-GB"/>
        </w:rPr>
        <w:t xml:space="preserve">The 5 Sola’s of The Reformation</w:t>
      </w:r>
      <w:r>
        <w:rPr>
          <w:sz w:val="96"/>
          <w:szCs w:val="96"/>
          <w:u w:val="single"/>
          <w:lang w:eastAsia="en-GB"/>
        </w:rPr>
        <w:t xml:space="preserve">.</w:t>
      </w:r>
      <w:r>
        <w:rPr>
          <w:sz w:val="96"/>
          <w:szCs w:val="96"/>
          <w:u w:val="single"/>
          <w:lang w:eastAsia="en-GB"/>
        </w:rPr>
      </w:r>
    </w:p>
    <w:p>
      <w:pPr>
        <w:pStyle w:val="674"/>
        <w:pBdr/>
        <w:spacing/>
        <w:ind/>
        <w:jc w:val="center"/>
        <w:rPr>
          <w:sz w:val="96"/>
          <w:szCs w:val="96"/>
          <w:lang w:eastAsia="en-GB"/>
        </w:rPr>
      </w:pPr>
      <w:r>
        <w:rPr>
          <w:sz w:val="96"/>
          <w:szCs w:val="96"/>
          <w:lang w:eastAsia="en-GB"/>
        </w:rPr>
        <w:t xml:space="preserve">Sola</w:t>
      </w:r>
      <w:r>
        <w:rPr>
          <w:sz w:val="96"/>
          <w:szCs w:val="96"/>
          <w:lang w:eastAsia="en-GB"/>
        </w:rPr>
        <w:t xml:space="preserve"> – Only, Alone</w:t>
      </w:r>
      <w:r>
        <w:rPr>
          <w:sz w:val="96"/>
          <w:szCs w:val="96"/>
          <w:lang w:eastAsia="en-GB"/>
        </w:rPr>
      </w:r>
    </w:p>
    <w:p>
      <w:pPr>
        <w:pStyle w:val="674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/>
      <w:bookmarkStart w:id="0" w:name="_Hlk181376697"/>
      <w:r/>
      <w:bookmarkStart w:id="1" w:name="_Hlk181458945"/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By Grace alone (Sola Gratia)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Through Faith alone (Sola Fide)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 Christ alone (Sola Christus)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According to Scripture alone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(Sola Scriptura)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 God’s Glory alone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(Sola Deo Gloria)</w:t>
      </w:r>
      <w:bookmarkEnd w:id="0"/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  <w:t xml:space="preserve">A return to the beliefs held by the early Church -AD33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to about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AD450.</w:t>
      </w:r>
      <w:bookmarkEnd w:id="1"/>
      <w:r/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numPr>
          <w:ilvl w:val="0"/>
          <w:numId w:val="3"/>
        </w:numPr>
        <w:pBdr/>
        <w:spacing/>
        <w:ind w:hanging="1080"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By Grace alone (Sola Gratia)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/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See </w:t>
      </w:r>
      <w:r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Ephesians 2v8,9</w:t>
      </w:r>
      <w:r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and v5.</w:t>
      </w:r>
      <w:r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42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“Even when we were dead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 sins, hath quickened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us together with Christ,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(by grace ye are saved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)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”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104"/>
          <w:szCs w:val="10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rPr>
          <w:rFonts w:ascii="Times New Roman" w:hAnsi="Times New Roman" w:cs="Times New Roman"/>
          <w:color w:val="000000" w:themeColor="text1"/>
          <w:sz w:val="2"/>
          <w:szCs w:val="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"/>
          <w:szCs w:val="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 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God’s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720" w:left="1440"/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 - Riches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- At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720" w:left="1440"/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Christ’s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Expense</w:t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144"/>
          <w:szCs w:val="14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3"/>
        </w:numPr>
        <w:pBdr/>
        <w:spacing/>
        <w:ind w:hanging="1080"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Through Faith alone (Sola Fide)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6"/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But that no man is justified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by the law in the sight of God,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it is evident: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for,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just shall live by faith.</w:t>
      </w: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” </w:t>
      </w:r>
      <w:r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Gal 3v7.</w:t>
      </w:r>
      <w:r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 - Forsaking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720" w:left="1440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- All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 - </w:t>
      </w:r>
      <w:r>
        <w:rPr>
          <w:rFonts w:ascii="Times New Roman" w:hAnsi="Times New Roman" w:cs="Times New Roman"/>
          <w:color w:val="000000" w:themeColor="text1"/>
          <w:sz w:val="56"/>
          <w:szCs w:val="5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720" w:left="1440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 -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Trust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firstLine="360" w:left="1800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 -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Hi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3"/>
        </w:numPr>
        <w:pBdr/>
        <w:spacing/>
        <w:ind w:hanging="1080"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 Christ alone (Sola Christus)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“Jesus saith, I am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Way, The Truth,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and The Life: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 man cometh unto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Father, but by Me.”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John 14v6.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Timothy 2v5 says,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“For there is one God, and one mediator between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God and men,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Man Christ Jesus.”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Acts 4v12 says,</w:t>
      </w: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“Neither is there salvation                      in any other:                                   for there is none other name under heaven </w:t>
      </w: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given among men, </w:t>
      </w: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whereby we must be saved.”</w:t>
      </w:r>
      <w:r>
        <w:rPr>
          <w:rFonts w:ascii="Times New Roman" w:hAnsi="Times New Roman" w:cs="Times New Roman"/>
          <w:color w:val="000000" w:themeColor="text1"/>
          <w:sz w:val="116"/>
          <w:szCs w:val="11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 w:left="1080"/>
        <w:jc w:val="center"/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Christ died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 save sinners,                   rose again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and ascended                               to present them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 His Father</w:t>
      </w:r>
      <w:r>
        <w:rPr>
          <w:rFonts w:ascii="Times New Roman" w:hAnsi="Times New Roman" w:cs="Times New Roman"/>
          <w:color w:val="000000" w:themeColor="text1"/>
          <w:sz w:val="120"/>
          <w:szCs w:val="120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3"/>
        </w:numPr>
        <w:pBdr/>
        <w:spacing/>
        <w:ind w:hanging="1080"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According to Scripture alone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(Sola Scriptura)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Bdr/>
        <w:tabs>
          <w:tab w:val="left" w:leader="none" w:pos="426"/>
          <w:tab w:val="left" w:leader="none" w:pos="567"/>
        </w:tabs>
        <w:spacing/>
        <w:ind/>
        <w:jc w:val="center"/>
        <w:rPr>
          <w:b/>
          <w:bCs/>
          <w:sz w:val="56"/>
          <w:szCs w:val="52"/>
        </w:rPr>
      </w:pPr>
      <w:r>
        <w:rPr>
          <w:b/>
          <w:bCs/>
          <w:sz w:val="56"/>
          <w:szCs w:val="52"/>
        </w:rPr>
        <w:t xml:space="preserve">Our Basis of Faith says,</w:t>
      </w:r>
      <w:r>
        <w:rPr>
          <w:b/>
          <w:bCs/>
          <w:sz w:val="56"/>
          <w:szCs w:val="52"/>
        </w:rPr>
      </w:r>
    </w:p>
    <w:p>
      <w:pPr>
        <w:pBdr/>
        <w:tabs>
          <w:tab w:val="left" w:leader="none" w:pos="426"/>
          <w:tab w:val="left" w:leader="none" w:pos="567"/>
        </w:tabs>
        <w:spacing/>
        <w:ind/>
        <w:jc w:val="center"/>
        <w:rPr>
          <w:b/>
          <w:bCs/>
          <w:sz w:val="56"/>
          <w:szCs w:val="52"/>
        </w:rPr>
      </w:pPr>
      <w:r>
        <w:rPr>
          <w:b/>
          <w:bCs/>
          <w:sz w:val="56"/>
          <w:szCs w:val="52"/>
        </w:rPr>
        <w:t xml:space="preserve">We believe in, the full inspiration of the Holy Scriptures;                                 their authority and sufficiency as not only containing    </w:t>
      </w:r>
      <w:r>
        <w:rPr>
          <w:b/>
          <w:bCs/>
          <w:sz w:val="56"/>
          <w:szCs w:val="52"/>
        </w:rPr>
        <w:t xml:space="preserve">                                         but as being in themselves the Word of God.                                                            The reliability of the Scripture witness to itself as the only,                                                 </w:t>
      </w:r>
      <w:r>
        <w:rPr>
          <w:b/>
          <w:bCs/>
          <w:sz w:val="56"/>
          <w:szCs w:val="52"/>
        </w:rPr>
        <w:t xml:space="preserve">   the complete and infallible Word of God,                                                                the New Testament witnessing to the reliability                                                                                  and divine character</w:t>
      </w:r>
      <w:r>
        <w:rPr>
          <w:b/>
          <w:bCs/>
          <w:sz w:val="56"/>
          <w:szCs w:val="52"/>
        </w:rPr>
        <w:t xml:space="preserve"> of the Old Testament;                                                                               the necessity also for a reverent faith in the Word,                                                                  and the teaching of the Holy Spirit, </w:t>
      </w:r>
      <w:r>
        <w:rPr>
          <w:b/>
          <w:bCs/>
          <w:sz w:val="56"/>
          <w:szCs w:val="52"/>
        </w:rPr>
        <w:t xml:space="preserve">                                                                       </w:t>
      </w:r>
      <w:r>
        <w:rPr>
          <w:b/>
          <w:bCs/>
          <w:sz w:val="56"/>
          <w:szCs w:val="52"/>
        </w:rPr>
        <w:t xml:space="preserve">for a true understanding of the whole.</w:t>
      </w:r>
      <w:r>
        <w:rPr>
          <w:b/>
          <w:bCs/>
          <w:sz w:val="56"/>
          <w:szCs w:val="52"/>
        </w:rPr>
      </w:r>
    </w:p>
    <w:p>
      <w:pPr>
        <w:pStyle w:val="676"/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Timothy 3v16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,17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6"/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“All scripture is given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by inspiration of God,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and is profitable for doctrine,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 reproof, for correction,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 instruction in righteousness: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6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That the man of God may be perfect, thoroughly furnished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unto all good works.</w:t>
      </w:r>
      <w:r>
        <w:rPr>
          <w:rFonts w:ascii="Times New Roman" w:hAnsi="Times New Roman" w:cs="Times New Roman"/>
          <w:b/>
          <w:bCs/>
          <w:color w:val="000000" w:themeColor="text1"/>
          <w:sz w:val="84"/>
          <w:szCs w:val="84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”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numPr>
          <w:ilvl w:val="0"/>
          <w:numId w:val="3"/>
        </w:numPr>
        <w:pBdr/>
        <w:spacing/>
        <w:ind w:hanging="1080"/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 God’s Glory alone              (Sola Deo Gloria)</w:t>
      </w:r>
      <w:r>
        <w:rPr>
          <w:rFonts w:ascii="Times New Roman" w:hAnsi="Times New Roman" w:cs="Times New Roman"/>
          <w:color w:val="000000" w:themeColor="text1"/>
          <w:sz w:val="96"/>
          <w:szCs w:val="96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 Peter 4v11 says,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“If any man speak,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let him speak as the oracles of God;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if any man minister,                           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let him do it as of the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ability which God giveth:    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that God in all things may be glorified through Jesus Christ, to whom be praise and dominion for ever and ever. Amen.”</w:t>
      </w:r>
      <w:r>
        <w:rPr>
          <w:rFonts w:ascii="Times New Roman" w:hAnsi="Times New Roman" w:cs="Times New Roman"/>
          <w:color w:val="000000" w:themeColor="text1"/>
          <w:sz w:val="72"/>
          <w:szCs w:val="72"/>
          <w:lang w:eastAsia="en-GB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  <w:t xml:space="preserve">God’s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free gift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of faith and repentance brings glory to Himself.</w:t>
      </w:r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  <w:t xml:space="preserve">Christ’s death on the cross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                    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brings glory to The Father.</w:t>
      </w:r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  <w:t xml:space="preserve">The quickening work of The Holy Spirit brings glory to God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                            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as sinners are born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again            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and adopted into God’s Family.</w:t>
      </w:r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</w:r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u w:val="single"/>
          <w:lang w:eastAsia="en-GB"/>
        </w:rPr>
      </w:pPr>
      <w:r>
        <w:rPr>
          <w:rFonts w:ascii="Times New Roman" w:hAnsi="Times New Roman" w:cs="Times New Roman"/>
          <w:sz w:val="96"/>
          <w:szCs w:val="96"/>
          <w:u w:val="single"/>
          <w:lang w:eastAsia="en-GB"/>
        </w:rPr>
        <w:t xml:space="preserve">In conclusion.</w:t>
      </w:r>
      <w:r>
        <w:rPr>
          <w:rFonts w:ascii="Times New Roman" w:hAnsi="Times New Roman" w:cs="Times New Roman"/>
          <w:sz w:val="96"/>
          <w:szCs w:val="96"/>
          <w:u w:val="single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  <w:t xml:space="preserve">The Holy Spirit re-awakened the church so that we can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know, understand,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love,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and believe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                 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these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vital 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Biblical Doctrines</w:t>
      </w:r>
      <w:r>
        <w:rPr>
          <w:rFonts w:ascii="Times New Roman" w:hAnsi="Times New Roman" w:cs="Times New Roman"/>
          <w:sz w:val="96"/>
          <w:szCs w:val="96"/>
          <w:lang w:eastAsia="en-GB"/>
        </w:rPr>
        <w:t xml:space="preserve">.</w:t>
      </w:r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96"/>
          <w:szCs w:val="96"/>
          <w:lang w:eastAsia="en-GB"/>
        </w:rPr>
      </w:pPr>
      <w:r>
        <w:rPr>
          <w:rFonts w:ascii="Times New Roman" w:hAnsi="Times New Roman" w:cs="Times New Roman"/>
          <w:sz w:val="96"/>
          <w:szCs w:val="96"/>
          <w:lang w:eastAsia="en-GB"/>
        </w:rPr>
        <w:t xml:space="preserve">Let us live them out and continue to preach them to the salvation of souls and the glory of God.</w:t>
      </w:r>
      <w:r>
        <w:rPr>
          <w:rFonts w:ascii="Times New Roman" w:hAnsi="Times New Roman" w:cs="Times New Roman"/>
          <w:sz w:val="96"/>
          <w:szCs w:val="96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44"/>
          <w:szCs w:val="44"/>
          <w:lang w:eastAsia="en-GB"/>
        </w:rPr>
      </w:pPr>
      <w:r>
        <w:rPr>
          <w:rFonts w:ascii="Times New Roman" w:hAnsi="Times New Roman" w:cs="Times New Roman"/>
          <w:sz w:val="44"/>
          <w:szCs w:val="44"/>
          <w:lang w:eastAsia="en-GB"/>
        </w:rPr>
      </w:r>
      <w:r>
        <w:rPr>
          <w:rFonts w:ascii="Times New Roman" w:hAnsi="Times New Roman" w:cs="Times New Roman"/>
          <w:sz w:val="44"/>
          <w:szCs w:val="44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52"/>
          <w:szCs w:val="52"/>
          <w:lang w:eastAsia="en-GB"/>
        </w:rPr>
      </w:pPr>
      <w:r>
        <w:rPr>
          <w:rFonts w:ascii="Times New Roman" w:hAnsi="Times New Roman" w:cs="Times New Roman"/>
          <w:sz w:val="52"/>
          <w:szCs w:val="52"/>
          <w:lang w:eastAsia="en-GB"/>
        </w:rPr>
        <w:t xml:space="preserve">A Bible Study on this subject is on the EDT Website at </w:t>
      </w:r>
      <w:r>
        <w:rPr>
          <w:rFonts w:ascii="Times New Roman" w:hAnsi="Times New Roman" w:cs="Times New Roman"/>
          <w:sz w:val="52"/>
          <w:szCs w:val="52"/>
          <w:lang w:eastAsia="en-GB"/>
        </w:rPr>
      </w:r>
    </w:p>
    <w:p>
      <w:pPr>
        <w:pStyle w:val="674"/>
        <w:pBdr/>
        <w:spacing/>
        <w:ind/>
        <w:jc w:val="center"/>
        <w:rPr>
          <w:rFonts w:ascii="Times New Roman" w:hAnsi="Times New Roman" w:cs="Times New Roman"/>
          <w:sz w:val="48"/>
          <w:szCs w:val="48"/>
          <w:lang w:eastAsia="en-GB"/>
        </w:rPr>
      </w:pPr>
      <w:r/>
      <w:hyperlink r:id="rId11" w:tooltip="https://eastdulwichtabernacle.org/Rom/The-Five-Solae-of-the-Reformation" w:history="1">
        <w:r>
          <w:rPr>
            <w:rStyle w:val="677"/>
            <w:rFonts w:ascii="Times New Roman" w:hAnsi="Times New Roman" w:cs="Times New Roman"/>
            <w:sz w:val="48"/>
            <w:szCs w:val="48"/>
            <w:lang w:eastAsia="en-GB"/>
          </w:rPr>
          <w:t xml:space="preserve">https://eastdulwichtabernacle.org/Rom/The-Five-Solae-of-the-Reformation</w:t>
        </w:r>
      </w:hyperlink>
      <w:r/>
      <w:r>
        <w:rPr>
          <w:rFonts w:ascii="Times New Roman" w:hAnsi="Times New Roman" w:cs="Times New Roman"/>
          <w:sz w:val="48"/>
          <w:szCs w:val="48"/>
          <w:lang w:eastAsia="en-GB"/>
        </w:rPr>
      </w:r>
    </w:p>
    <w:sectPr>
      <w:footnotePr/>
      <w:endnotePr/>
      <w:type w:val="nextPage"/>
      <w:pgSz w:h="11906" w:orient="landscape" w:w="16838"/>
      <w:pgMar w:top="720" w:right="720" w:bottom="568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5B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6EA153F"/>
    <w:lvl w:ilvl="0">
      <w:isLgl w:val="false"/>
      <w:lvlJc w:val="left"/>
      <w:lvlText w:val="%1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DE019DD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/>
      <w:ind/>
    </w:p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paragraph" w:styleId="674">
    <w:name w:val="No Spacing"/>
    <w:uiPriority w:val="1"/>
    <w:qFormat/>
    <w:pPr>
      <w:pBdr/>
      <w:spacing w:after="0" w:line="240" w:lineRule="auto"/>
      <w:ind/>
    </w:pPr>
    <w:rPr>
      <w:rFonts w:ascii="Verdana" w:hAnsi="Verdana"/>
      <w:b/>
      <w:bCs/>
      <w:sz w:val="24"/>
      <w:szCs w:val="24"/>
      <w14:ligatures w14:val="none"/>
    </w:rPr>
  </w:style>
  <w:style w:type="character" w:styleId="675" w:customStyle="1">
    <w:name w:val="text"/>
    <w:basedOn w:val="671"/>
    <w:pPr>
      <w:pBdr/>
      <w:spacing/>
      <w:ind/>
    </w:pPr>
  </w:style>
  <w:style w:type="paragraph" w:styleId="676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67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78">
    <w:name w:val="Unresolved Mention"/>
    <w:basedOn w:val="67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eastdulwichtabernacle.org/Rom/The-Five-Solae-of-the-Reforma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12F2-55C1-4357-92CA-50F8D48C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dc:description/>
  <cp:revision>18</cp:revision>
  <dcterms:created xsi:type="dcterms:W3CDTF">2024-11-16T18:01:00Z</dcterms:created>
  <dcterms:modified xsi:type="dcterms:W3CDTF">2025-11-01T14:35:26Z</dcterms:modified>
</cp:coreProperties>
</file>